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F3A5F"/>
        </w:rPr>
        <w:t>L2B Vendor — Bugs Found</w:t>
      </w:r>
    </w:p>
    <w:p>
      <w:r>
        <w:rPr>
          <w:color w:val="333333"/>
          <w:sz w:val="22"/>
        </w:rPr>
        <w:t>Running list of genuine app defects found by automation. This is separate from Allure (the technical test-run report). Status is Open until a fix is confirmed; do not mark Fixed from a test pass alone.</w:t>
      </w:r>
    </w:p>
    <w:p>
      <w:r>
        <w:t>Last updated: 15 September 2026</w:t>
      </w:r>
    </w:p>
    <w:tbl>
      <w:tblPr>
        <w:tblStyle w:val="TableGrid"/>
        <w:tblW w:type="auto" w:w="0"/>
        <w:jc w:val="center"/>
        <w:tblLayout w:type="fixed"/>
        <w:tblLook w:firstColumn="1" w:firstRow="1" w:lastColumn="0" w:lastRow="0" w:noHBand="0" w:noVBand="1" w:val="04A0"/>
        <w:tblLayout w:type="fixed"/>
      </w:tblPr>
      <w:tblGrid>
        <w:gridCol w:w="2304"/>
        <w:gridCol w:w="2304"/>
        <w:gridCol w:w="2304"/>
        <w:gridCol w:w="2304"/>
        <w:gridCol w:w="2304"/>
        <w:gridCol w:w="2304"/>
      </w:tblGrid>
      <w:tr>
        <w:tc>
          <w:tcPr>
            <w:tcW w:type="dxa" w:w="720"/>
            <w:shd w:fill="1F3A5F" w:val="clear"/>
            <w:tcMar>
              <w:top w:w="80" w:type="dxa"/>
              <w:left w:w="80" w:type="dxa"/>
              <w:bottom w:w="80" w:type="dxa"/>
              <w:right w:w="80" w:type="dxa"/>
            </w:tcMar>
          </w:tcPr>
          <w:p>
            <w:pPr>
              <w:spacing w:before="80" w:after="80"/>
              <w:jc w:val="center"/>
            </w:pPr>
            <w:r/>
            <w:r>
              <w:rPr>
                <w:rFonts w:ascii="Calibri" w:hAnsi="Calibri"/>
                <w:b/>
                <w:color w:val="FFFFFF"/>
                <w:sz w:val="22"/>
              </w:rPr>
              <w:t>#</w:t>
            </w:r>
          </w:p>
        </w:tc>
        <w:tc>
          <w:tcPr>
            <w:tcW w:type="dxa" w:w="2160"/>
            <w:shd w:fill="1F3A5F" w:val="clear"/>
            <w:tcMar>
              <w:top w:w="80" w:type="dxa"/>
              <w:left w:w="80" w:type="dxa"/>
              <w:bottom w:w="80" w:type="dxa"/>
              <w:right w:w="80" w:type="dxa"/>
            </w:tcMar>
          </w:tcPr>
          <w:p>
            <w:pPr>
              <w:spacing w:before="80" w:after="80"/>
              <w:jc w:val="center"/>
            </w:pPr>
            <w:r/>
            <w:r>
              <w:rPr>
                <w:rFonts w:ascii="Calibri" w:hAnsi="Calibri"/>
                <w:b/>
                <w:color w:val="FFFFFF"/>
                <w:sz w:val="22"/>
              </w:rPr>
              <w:t>Module/Screen</w:t>
            </w:r>
          </w:p>
        </w:tc>
        <w:tc>
          <w:tcPr>
            <w:tcW w:type="dxa" w:w="7776"/>
            <w:shd w:fill="1F3A5F" w:val="clear"/>
            <w:tcMar>
              <w:top w:w="80" w:type="dxa"/>
              <w:left w:w="80" w:type="dxa"/>
              <w:bottom w:w="80" w:type="dxa"/>
              <w:right w:w="80" w:type="dxa"/>
            </w:tcMar>
          </w:tcPr>
          <w:p>
            <w:pPr>
              <w:spacing w:before="80" w:after="80"/>
              <w:jc w:val="center"/>
            </w:pPr>
            <w:r/>
            <w:r>
              <w:rPr>
                <w:rFonts w:ascii="Calibri" w:hAnsi="Calibri"/>
                <w:b/>
                <w:color w:val="FFFFFF"/>
                <w:sz w:val="22"/>
              </w:rPr>
              <w:t>Bug Description</w:t>
            </w:r>
          </w:p>
        </w:tc>
        <w:tc>
          <w:tcPr>
            <w:tcW w:type="dxa" w:w="1440"/>
            <w:shd w:fill="1F3A5F" w:val="clear"/>
            <w:tcMar>
              <w:top w:w="80" w:type="dxa"/>
              <w:left w:w="80" w:type="dxa"/>
              <w:bottom w:w="80" w:type="dxa"/>
              <w:right w:w="80" w:type="dxa"/>
            </w:tcMar>
          </w:tcPr>
          <w:p>
            <w:pPr>
              <w:spacing w:before="80" w:after="80"/>
              <w:jc w:val="center"/>
            </w:pPr>
            <w:r/>
            <w:r>
              <w:rPr>
                <w:rFonts w:ascii="Calibri" w:hAnsi="Calibri"/>
                <w:b/>
                <w:color w:val="FFFFFF"/>
                <w:sz w:val="22"/>
              </w:rPr>
              <w:t>Severity</w:t>
            </w:r>
          </w:p>
        </w:tc>
        <w:tc>
          <w:tcPr>
            <w:tcW w:type="dxa" w:w="1728"/>
            <w:shd w:fill="1F3A5F" w:val="clear"/>
            <w:tcMar>
              <w:top w:w="80" w:type="dxa"/>
              <w:left w:w="80" w:type="dxa"/>
              <w:bottom w:w="80" w:type="dxa"/>
              <w:right w:w="80" w:type="dxa"/>
            </w:tcMar>
          </w:tcPr>
          <w:p>
            <w:pPr>
              <w:spacing w:before="80" w:after="80"/>
              <w:jc w:val="center"/>
            </w:pPr>
            <w:r/>
            <w:r>
              <w:rPr>
                <w:rFonts w:ascii="Calibri" w:hAnsi="Calibri"/>
                <w:b/>
                <w:color w:val="FFFFFF"/>
                <w:sz w:val="22"/>
              </w:rPr>
              <w:t>Found On</w:t>
            </w:r>
          </w:p>
        </w:tc>
        <w:tc>
          <w:tcPr>
            <w:tcW w:type="dxa" w:w="1296"/>
            <w:shd w:fill="1F3A5F" w:val="clear"/>
            <w:tcMar>
              <w:top w:w="80" w:type="dxa"/>
              <w:left w:w="80" w:type="dxa"/>
              <w:bottom w:w="80" w:type="dxa"/>
              <w:right w:w="80" w:type="dxa"/>
            </w:tcMar>
          </w:tcPr>
          <w:p>
            <w:pPr>
              <w:spacing w:before="80" w:after="80"/>
              <w:jc w:val="center"/>
            </w:pPr>
            <w:r/>
            <w:r>
              <w:rPr>
                <w:rFonts w:ascii="Calibri" w:hAnsi="Calibri"/>
                <w:b/>
                <w:color w:val="FFFFFF"/>
                <w:sz w:val="22"/>
              </w:rPr>
              <w:t>Status</w:t>
            </w:r>
          </w:p>
        </w:tc>
      </w:tr>
      <w:tr>
        <w:tc>
          <w:tcPr>
            <w:tcW w:type="dxa" w:w="720"/>
            <w:shd w:fill="F7F9FC" w:val="clear"/>
            <w:tcMar>
              <w:top w:w="80" w:type="dxa"/>
              <w:left w:w="80" w:type="dxa"/>
              <w:bottom w:w="80" w:type="dxa"/>
              <w:right w:w="80" w:type="dxa"/>
            </w:tcMar>
          </w:tcPr>
          <w:p>
            <w:pPr>
              <w:spacing w:before="80" w:after="80"/>
              <w:jc w:val="center"/>
            </w:pPr>
            <w:r/>
            <w:r>
              <w:rPr>
                <w:rFonts w:ascii="Calibri" w:hAnsi="Calibri"/>
                <w:b/>
                <w:sz w:val="20"/>
              </w:rPr>
              <w:t>1</w:t>
            </w:r>
          </w:p>
        </w:tc>
        <w:tc>
          <w:tcPr>
            <w:tcW w:type="dxa" w:w="2160"/>
            <w:shd w:fill="F7F9FC" w:val="clear"/>
            <w:tcMar>
              <w:top w:w="80" w:type="dxa"/>
              <w:left w:w="80" w:type="dxa"/>
              <w:bottom w:w="80" w:type="dxa"/>
              <w:right w:w="80" w:type="dxa"/>
            </w:tcMar>
          </w:tcPr>
          <w:p>
            <w:pPr>
              <w:spacing w:before="80" w:after="80"/>
              <w:jc w:val="center"/>
            </w:pPr>
            <w:r/>
            <w:r>
              <w:rPr>
                <w:rFonts w:ascii="Calibri" w:hAnsi="Calibri"/>
                <w:b w:val="0"/>
                <w:sz w:val="20"/>
              </w:rPr>
              <w:t>Splash screen</w:t>
            </w:r>
          </w:p>
        </w:tc>
        <w:tc>
          <w:tcPr>
            <w:tcW w:type="dxa" w:w="7776"/>
            <w:shd w:fill="F7F9FC" w:val="clear"/>
            <w:tcMar>
              <w:top w:w="80" w:type="dxa"/>
              <w:left w:w="80" w:type="dxa"/>
              <w:bottom w:w="80" w:type="dxa"/>
              <w:right w:w="80" w:type="dxa"/>
            </w:tcMar>
          </w:tcPr>
          <w:p>
            <w:pPr>
              <w:spacing w:before="80" w:after="80"/>
            </w:pPr>
            <w:r/>
            <w:r>
              <w:rPr>
                <w:rFonts w:ascii="Calibri" w:hAnsi="Calibri"/>
                <w:b w:val="0"/>
                <w:sz w:val="20"/>
              </w:rPr>
              <w:t>When the app is launched with no network (Wi-Fi and mobile data off), it does not show an error or retry message. The first screen is still the notification permission dialog, with no indication that the device is offline. Expected: a clear offline or retry message so the user knows there is a network problem, rather than appearing stuck on the permission prompt.</w:t>
            </w:r>
          </w:p>
        </w:tc>
        <w:tc>
          <w:tcPr>
            <w:tcW w:type="dxa" w:w="1440"/>
            <w:shd w:fill="F7F9FC" w:val="clear"/>
            <w:tcMar>
              <w:top w:w="80" w:type="dxa"/>
              <w:left w:w="80" w:type="dxa"/>
              <w:bottom w:w="80" w:type="dxa"/>
              <w:right w:w="80" w:type="dxa"/>
            </w:tcMar>
          </w:tcPr>
          <w:p>
            <w:pPr>
              <w:spacing w:before="80" w:after="80"/>
              <w:jc w:val="center"/>
            </w:pPr>
            <w:r/>
            <w:r>
              <w:rPr>
                <w:rFonts w:ascii="Calibri" w:hAnsi="Calibri"/>
                <w:b/>
                <w:color w:val="D35400"/>
                <w:sz w:val="20"/>
              </w:rPr>
              <w:t>Medium</w:t>
            </w:r>
          </w:p>
        </w:tc>
        <w:tc>
          <w:tcPr>
            <w:tcW w:type="dxa" w:w="1728"/>
            <w:shd w:fill="F7F9FC" w:val="clear"/>
            <w:tcMar>
              <w:top w:w="80" w:type="dxa"/>
              <w:left w:w="80" w:type="dxa"/>
              <w:bottom w:w="80" w:type="dxa"/>
              <w:right w:w="80" w:type="dxa"/>
            </w:tcMar>
          </w:tcPr>
          <w:p>
            <w:pPr>
              <w:spacing w:before="80" w:after="80"/>
              <w:jc w:val="center"/>
            </w:pPr>
            <w:r/>
            <w:r>
              <w:rPr>
                <w:rFonts w:ascii="Calibri" w:hAnsi="Calibri"/>
                <w:b w:val="0"/>
                <w:sz w:val="20"/>
              </w:rPr>
              <w:t>15 Sep 2026</w:t>
            </w:r>
          </w:p>
        </w:tc>
        <w:tc>
          <w:tcPr>
            <w:tcW w:type="dxa" w:w="1296"/>
            <w:shd w:fill="F7F9FC" w:val="clear"/>
            <w:tcMar>
              <w:top w:w="80" w:type="dxa"/>
              <w:left w:w="80" w:type="dxa"/>
              <w:bottom w:w="80" w:type="dxa"/>
              <w:right w:w="80" w:type="dxa"/>
            </w:tcMar>
          </w:tcPr>
          <w:p>
            <w:pPr>
              <w:spacing w:before="80" w:after="80"/>
              <w:jc w:val="center"/>
            </w:pPr>
            <w:r/>
            <w:r>
              <w:rPr>
                <w:rFonts w:ascii="Calibri" w:hAnsi="Calibri"/>
                <w:b/>
                <w:color w:val="C0392B"/>
                <w:sz w:val="20"/>
              </w:rPr>
              <w:t>Open</w:t>
            </w:r>
          </w:p>
        </w:tc>
      </w:tr>
      <w:tr>
        <w:tc>
          <w:tcPr>
            <w:tcW w:type="dxa" w:w="2304"/>
          </w:tcPr>
          <w:p>
            <w:r>
              <w:t>2</w:t>
            </w:r>
          </w:p>
        </w:tc>
        <w:tc>
          <w:tcPr>
            <w:tcW w:type="dxa" w:w="2304"/>
          </w:tcPr>
          <w:p>
            <w:r>
              <w:t>Onboarding carousel</w:t>
            </w:r>
          </w:p>
        </w:tc>
        <w:tc>
          <w:tcPr>
            <w:tcW w:type="dxa" w:w="2304"/>
          </w:tcPr>
          <w:p>
            <w:r>
              <w:t>"Skip" on Onboarding slide 1 behaves identically to "Next" — it advances to slide 2 ("Manage Everything In One Place") and does not bypass onboarding to Sign up, making the control functionally redundant. Get started on slide 2 is the only path to Sign up. Observed 15 Sep 2026 on com.l2b.app.qa (OnboardingCarouselTest.skipFromSlideOneGoesToSlideTwo).</w:t>
            </w:r>
          </w:p>
        </w:tc>
        <w:tc>
          <w:tcPr>
            <w:tcW w:type="dxa" w:w="2304"/>
          </w:tcPr>
          <w:p>
            <w:r>
              <w:t>Medium</w:t>
            </w:r>
          </w:p>
        </w:tc>
        <w:tc>
          <w:tcPr>
            <w:tcW w:type="dxa" w:w="2304"/>
          </w:tcPr>
          <w:p>
            <w:r>
              <w:t>15 Sep 2026</w:t>
            </w:r>
          </w:p>
        </w:tc>
        <w:tc>
          <w:tcPr>
            <w:tcW w:type="dxa" w:w="2304"/>
          </w:tcPr>
          <w:p>
            <w:r>
              <w:t>Open</w:t>
            </w:r>
          </w:p>
        </w:tc>
      </w:tr>
      <w:tr>
        <w:tc>
          <w:tcPr>
            <w:tcW w:type="dxa" w:w="2304"/>
          </w:tcPr>
          <w:p>
            <w:r>
              <w:t>3</w:t>
            </w:r>
          </w:p>
        </w:tc>
        <w:tc>
          <w:tcPr>
            <w:tcW w:type="dxa" w:w="2304"/>
          </w:tcPr>
          <w:p>
            <w:r>
              <w:t>Onboarding carousel</w:t>
            </w:r>
          </w:p>
        </w:tc>
        <w:tc>
          <w:tcPr>
            <w:tcW w:type="dxa" w:w="2304"/>
          </w:tcPr>
          <w:p>
            <w:r>
              <w:t>Rapid double/triple tap on slide 1 Next also activates slide 2 Get started (same bottom CTA slot). Three fast taps on Next skip slide 2 entirely and open Sign up. Rapid Skip does not do this (lands on slide 2 once). Observed 15 Sep 2026 (OnboardingCarouselTest.rapidDoubleTapSkipAndNextDoesNotDuplicate, Allure rapidNextLanding=signup).</w:t>
            </w:r>
          </w:p>
        </w:tc>
        <w:tc>
          <w:tcPr>
            <w:tcW w:type="dxa" w:w="2304"/>
          </w:tcPr>
          <w:p>
            <w:r>
              <w:t>Medium</w:t>
            </w:r>
          </w:p>
        </w:tc>
        <w:tc>
          <w:tcPr>
            <w:tcW w:type="dxa" w:w="2304"/>
          </w:tcPr>
          <w:p>
            <w:r>
              <w:t>15 Sep 2026</w:t>
            </w:r>
          </w:p>
        </w:tc>
        <w:tc>
          <w:tcPr>
            <w:tcW w:type="dxa" w:w="2304"/>
          </w:tcPr>
          <w:p>
            <w:r>
              <w:t>Open</w:t>
            </w:r>
          </w:p>
        </w:tc>
      </w:tr>
      <w:tr>
        <w:tc>
          <w:tcPr>
            <w:tcW w:type="dxa" w:w="2304"/>
          </w:tcPr>
          <w:p>
            <w:r>
              <w:t>4</w:t>
            </w:r>
          </w:p>
        </w:tc>
        <w:tc>
          <w:tcPr>
            <w:tcW w:type="dxa" w:w="2304"/>
          </w:tcPr>
          <w:p>
            <w:r>
              <w:t>Onboarding carousel</w:t>
            </w:r>
          </w:p>
        </w:tc>
        <w:tc>
          <w:tcPr>
            <w:tcW w:type="dxa" w:w="2304"/>
          </w:tcPr>
          <w:p>
            <w:r>
              <w:t>Pressing Back from onboarding slide 2 exits the app to the Android launcher instead of navigating to slide 1, AND the onboarding carousel does not persist across relaunch — combined effect: a single Back tap can force a user to repeat the entire onboarding flow from Language selection. Isolated 15 Sep 2026: Back from slide 2 landed on com.google.android.apps.nexuslauncher; Case 9 relaunch after Get started → Sign up returned to Welcome to L2B (language). (OnboardingCarouselTest.androidBackOnCarouselDoesNotCrash + carouselPersistenceAfterRelaunch).</w:t>
            </w:r>
          </w:p>
        </w:tc>
        <w:tc>
          <w:tcPr>
            <w:tcW w:type="dxa" w:w="2304"/>
          </w:tcPr>
          <w:p>
            <w:r>
              <w:t>Medium</w:t>
            </w:r>
          </w:p>
        </w:tc>
        <w:tc>
          <w:tcPr>
            <w:tcW w:type="dxa" w:w="2304"/>
          </w:tcPr>
          <w:p>
            <w:r>
              <w:t>15 Sep 2026</w:t>
            </w:r>
          </w:p>
        </w:tc>
        <w:tc>
          <w:tcPr>
            <w:tcW w:type="dxa" w:w="2304"/>
          </w:tcPr>
          <w:p>
            <w:r>
              <w:t>Open</w:t>
            </w:r>
          </w:p>
        </w:tc>
      </w:tr>
      <w:tr>
        <w:tc>
          <w:tcPr>
            <w:tcW w:type="dxa" w:w="2304"/>
          </w:tcPr>
          <w:p>
            <w:r>
              <w:t>5</w:t>
            </w:r>
          </w:p>
        </w:tc>
        <w:tc>
          <w:tcPr>
            <w:tcW w:type="dxa" w:w="2304"/>
          </w:tcPr>
          <w:p>
            <w:r>
              <w:t>Onboarding carousel</w:t>
            </w:r>
          </w:p>
        </w:tc>
        <w:tc>
          <w:tcPr>
            <w:tcW w:type="dxa" w:w="2304"/>
          </w:tcPr>
          <w:p>
            <w:r>
              <w:t>Onboarding carousel progress dots (pill + circle above Next / Get started) have no content-desc or selected state in the UiAutomator tree. Screen readers cannot announce current slide position (page 1 of 2 vs page 2 of 2), and this also blocks reliable automated verification of dot-highlight sync. Visual screenshots show the correct pill, but the nodes are unlabelled. (OnboardingCarouselTest.progressDotsAreVisualOnlyNotInSelectedState).</w:t>
            </w:r>
          </w:p>
        </w:tc>
        <w:tc>
          <w:tcPr>
            <w:tcW w:type="dxa" w:w="2304"/>
          </w:tcPr>
          <w:p>
            <w:r>
              <w:t>Low</w:t>
            </w:r>
          </w:p>
        </w:tc>
        <w:tc>
          <w:tcPr>
            <w:tcW w:type="dxa" w:w="2304"/>
          </w:tcPr>
          <w:p>
            <w:r>
              <w:t>15 Sep 2026</w:t>
            </w:r>
          </w:p>
        </w:tc>
        <w:tc>
          <w:tcPr>
            <w:tcW w:type="dxa" w:w="2304"/>
          </w:tcPr>
          <w:p>
            <w:r>
              <w:t>Open</w:t>
            </w:r>
          </w:p>
        </w:tc>
      </w:tr>
    </w:tbl>
    <w:p>
      <w:pPr>
        <w:spacing w:before="280"/>
      </w:pPr>
      <w:r>
        <w:rPr>
          <w:i/>
          <w:color w:val="666666"/>
          <w:sz w:val="18"/>
        </w:rPr>
        <w:t>How this file is maintained: read the existing table, add a new row for each newly confirmed app defect, or change Status when a fix is verified. Do not rebuild this list from scratch.</w:t>
      </w:r>
    </w:p>
    <w:sectPr w:rsidR="00FC693F" w:rsidRPr="0006063C" w:rsidSect="00034616">
      <w:pgSz w:w="15840" w:h="122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